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10" w:rsidRDefault="00C03810"/>
    <w:tbl>
      <w:tblPr>
        <w:tblStyle w:val="Tabellenraster"/>
        <w:tblW w:w="0" w:type="auto"/>
        <w:tblLayout w:type="fixed"/>
        <w:tblLook w:val="04A0" w:firstRow="1" w:lastRow="0" w:firstColumn="1" w:lastColumn="0" w:noHBand="0" w:noVBand="1"/>
      </w:tblPr>
      <w:tblGrid>
        <w:gridCol w:w="1384"/>
        <w:gridCol w:w="7904"/>
      </w:tblGrid>
      <w:tr w:rsidR="00EF63C6" w:rsidTr="0052693E">
        <w:trPr>
          <w:trHeight w:val="1190"/>
        </w:trPr>
        <w:tc>
          <w:tcPr>
            <w:tcW w:w="1384" w:type="dxa"/>
            <w:shd w:val="clear" w:color="auto" w:fill="C6D9F1" w:themeFill="text2" w:themeFillTint="33"/>
          </w:tcPr>
          <w:p w:rsidR="00EF63C6" w:rsidRPr="003609CF" w:rsidRDefault="0052693E">
            <w:pPr>
              <w:rPr>
                <w:rFonts w:asciiTheme="minorHAnsi" w:hAnsiTheme="minorHAnsi"/>
                <w:b/>
              </w:rPr>
            </w:pPr>
            <w:r>
              <w:rPr>
                <w:rFonts w:asciiTheme="minorHAnsi" w:hAnsiTheme="minorHAnsi"/>
                <w:b/>
              </w:rPr>
              <w:t>I</w:t>
            </w:r>
          </w:p>
          <w:p w:rsidR="00EF63C6" w:rsidRPr="003609CF" w:rsidRDefault="00EF63C6">
            <w:pPr>
              <w:rPr>
                <w:rFonts w:asciiTheme="minorHAnsi" w:hAnsiTheme="minorHAnsi"/>
                <w:b/>
              </w:rPr>
            </w:pPr>
            <w:r w:rsidRPr="003609CF">
              <w:rPr>
                <w:rFonts w:asciiTheme="minorHAnsi" w:hAnsiTheme="minorHAnsi"/>
                <w:b/>
              </w:rPr>
              <w:t>GRUND</w:t>
            </w:r>
            <w:r w:rsidR="0052693E">
              <w:rPr>
                <w:rFonts w:asciiTheme="minorHAnsi" w:hAnsiTheme="minorHAnsi"/>
                <w:b/>
              </w:rPr>
              <w:t>-</w:t>
            </w:r>
            <w:r w:rsidRPr="003609CF">
              <w:rPr>
                <w:rFonts w:asciiTheme="minorHAnsi" w:hAnsiTheme="minorHAnsi"/>
                <w:b/>
              </w:rPr>
              <w:t>LAGE</w:t>
            </w:r>
            <w:r w:rsidR="009768CD">
              <w:rPr>
                <w:rFonts w:asciiTheme="minorHAnsi" w:hAnsiTheme="minorHAnsi"/>
                <w:b/>
              </w:rPr>
              <w:t>N</w:t>
            </w:r>
          </w:p>
          <w:p w:rsidR="0052693E" w:rsidRPr="003609CF" w:rsidRDefault="0052693E">
            <w:pPr>
              <w:rPr>
                <w:rFonts w:asciiTheme="minorHAnsi" w:hAnsiTheme="minorHAnsi"/>
                <w:b/>
              </w:rPr>
            </w:pPr>
          </w:p>
        </w:tc>
        <w:tc>
          <w:tcPr>
            <w:tcW w:w="7904" w:type="dxa"/>
          </w:tcPr>
          <w:p w:rsidR="00EF63C6" w:rsidRPr="0052693E" w:rsidRDefault="00EF63C6" w:rsidP="00EF63C6">
            <w:pPr>
              <w:rPr>
                <w:rFonts w:asciiTheme="minorHAnsi" w:hAnsiTheme="minorHAnsi" w:cs="Gautami"/>
                <w:sz w:val="22"/>
                <w:szCs w:val="22"/>
              </w:rPr>
            </w:pPr>
            <w:r w:rsidRPr="0052693E">
              <w:rPr>
                <w:rFonts w:asciiTheme="minorHAnsi" w:hAnsiTheme="minorHAnsi" w:cs="Gautami"/>
                <w:sz w:val="22"/>
                <w:szCs w:val="22"/>
              </w:rPr>
              <w:t xml:space="preserve">Untersuchungen haben gezeigt, dass der Erfolg einer Rede nur </w:t>
            </w:r>
          </w:p>
          <w:p w:rsidR="00EF63C6" w:rsidRPr="0052693E" w:rsidRDefault="00EF63C6" w:rsidP="003609CF">
            <w:pPr>
              <w:ind w:left="459"/>
              <w:rPr>
                <w:rFonts w:asciiTheme="minorHAnsi" w:hAnsiTheme="minorHAnsi" w:cs="Gautami"/>
                <w:sz w:val="22"/>
                <w:szCs w:val="22"/>
              </w:rPr>
            </w:pPr>
            <w:r w:rsidRPr="0052693E">
              <w:rPr>
                <w:rFonts w:asciiTheme="minorHAnsi" w:hAnsiTheme="minorHAnsi" w:cs="Gautami"/>
                <w:sz w:val="22"/>
                <w:szCs w:val="22"/>
              </w:rPr>
              <w:t xml:space="preserve">zu 7 % am Inhalt gemessen wird, aber </w:t>
            </w:r>
          </w:p>
          <w:p w:rsidR="00EF63C6" w:rsidRPr="0052693E" w:rsidRDefault="00EF63C6" w:rsidP="003609CF">
            <w:pPr>
              <w:ind w:left="459"/>
              <w:rPr>
                <w:rFonts w:asciiTheme="minorHAnsi" w:hAnsiTheme="minorHAnsi" w:cs="Gautami"/>
                <w:sz w:val="22"/>
                <w:szCs w:val="22"/>
              </w:rPr>
            </w:pPr>
            <w:r w:rsidRPr="0052693E">
              <w:rPr>
                <w:rFonts w:asciiTheme="minorHAnsi" w:hAnsiTheme="minorHAnsi" w:cs="Gautami"/>
                <w:sz w:val="22"/>
                <w:szCs w:val="22"/>
              </w:rPr>
              <w:t>zu 38 % an der Stimme/</w:t>
            </w:r>
            <w:r w:rsidR="002C1660">
              <w:rPr>
                <w:rFonts w:asciiTheme="minorHAnsi" w:hAnsiTheme="minorHAnsi" w:cs="Gautami"/>
                <w:sz w:val="22"/>
                <w:szCs w:val="22"/>
              </w:rPr>
              <w:t xml:space="preserve"> </w:t>
            </w:r>
            <w:r w:rsidRPr="0052693E">
              <w:rPr>
                <w:rFonts w:asciiTheme="minorHAnsi" w:hAnsiTheme="minorHAnsi" w:cs="Gautami"/>
                <w:sz w:val="22"/>
                <w:szCs w:val="22"/>
              </w:rPr>
              <w:t xml:space="preserve">Sprache und </w:t>
            </w:r>
          </w:p>
          <w:p w:rsidR="00EF63C6" w:rsidRPr="0052693E" w:rsidRDefault="00EF63C6" w:rsidP="0052693E">
            <w:pPr>
              <w:ind w:left="459"/>
              <w:rPr>
                <w:rFonts w:asciiTheme="minorHAnsi" w:hAnsiTheme="minorHAnsi"/>
                <w:sz w:val="22"/>
                <w:szCs w:val="22"/>
              </w:rPr>
            </w:pPr>
            <w:r w:rsidRPr="0052693E">
              <w:rPr>
                <w:rFonts w:asciiTheme="minorHAnsi" w:hAnsiTheme="minorHAnsi" w:cs="Gautami"/>
                <w:b/>
                <w:sz w:val="22"/>
                <w:szCs w:val="22"/>
              </w:rPr>
              <w:t>zu 55 % am Körper/</w:t>
            </w:r>
            <w:r w:rsidR="002C1660">
              <w:rPr>
                <w:rFonts w:asciiTheme="minorHAnsi" w:hAnsiTheme="minorHAnsi" w:cs="Gautami"/>
                <w:b/>
                <w:sz w:val="22"/>
                <w:szCs w:val="22"/>
              </w:rPr>
              <w:t xml:space="preserve"> </w:t>
            </w:r>
            <w:r w:rsidR="00E261DA">
              <w:rPr>
                <w:rFonts w:asciiTheme="minorHAnsi" w:hAnsiTheme="minorHAnsi" w:cs="Gautami"/>
                <w:b/>
                <w:sz w:val="22"/>
                <w:szCs w:val="22"/>
              </w:rPr>
              <w:t xml:space="preserve">an </w:t>
            </w:r>
            <w:r w:rsidRPr="0052693E">
              <w:rPr>
                <w:rFonts w:asciiTheme="minorHAnsi" w:hAnsiTheme="minorHAnsi" w:cs="Gautami"/>
                <w:b/>
                <w:sz w:val="22"/>
                <w:szCs w:val="22"/>
              </w:rPr>
              <w:t>der Körpersprache</w:t>
            </w:r>
            <w:r w:rsidRPr="0052693E">
              <w:rPr>
                <w:rFonts w:asciiTheme="minorHAnsi" w:hAnsiTheme="minorHAnsi" w:cs="Gautami"/>
                <w:sz w:val="22"/>
                <w:szCs w:val="22"/>
              </w:rPr>
              <w:t>.</w:t>
            </w:r>
          </w:p>
        </w:tc>
      </w:tr>
      <w:tr w:rsidR="00EF63C6" w:rsidTr="0052693E">
        <w:tc>
          <w:tcPr>
            <w:tcW w:w="1384" w:type="dxa"/>
            <w:shd w:val="clear" w:color="auto" w:fill="C6D9F1" w:themeFill="text2" w:themeFillTint="33"/>
          </w:tcPr>
          <w:p w:rsidR="00EF63C6" w:rsidRPr="003609CF" w:rsidRDefault="00EF63C6">
            <w:pPr>
              <w:rPr>
                <w:rFonts w:asciiTheme="minorHAnsi" w:hAnsiTheme="minorHAnsi"/>
                <w:b/>
              </w:rPr>
            </w:pPr>
            <w:r w:rsidRPr="003609CF">
              <w:rPr>
                <w:rFonts w:asciiTheme="minorHAnsi" w:hAnsiTheme="minorHAnsi"/>
                <w:b/>
              </w:rPr>
              <w:t>II</w:t>
            </w:r>
          </w:p>
          <w:p w:rsidR="00EF63C6" w:rsidRPr="003609CF" w:rsidRDefault="00EF63C6">
            <w:pPr>
              <w:rPr>
                <w:rFonts w:asciiTheme="minorHAnsi" w:hAnsiTheme="minorHAnsi"/>
                <w:b/>
              </w:rPr>
            </w:pPr>
          </w:p>
          <w:p w:rsidR="00EF63C6" w:rsidRPr="003609CF" w:rsidRDefault="00EF63C6">
            <w:pPr>
              <w:rPr>
                <w:rFonts w:asciiTheme="minorHAnsi" w:hAnsiTheme="minorHAnsi"/>
                <w:b/>
              </w:rPr>
            </w:pPr>
            <w:r w:rsidRPr="003609CF">
              <w:rPr>
                <w:rFonts w:asciiTheme="minorHAnsi" w:hAnsiTheme="minorHAnsi"/>
                <w:b/>
              </w:rPr>
              <w:t>TOP SEVEN</w:t>
            </w: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52693E">
            <w:pPr>
              <w:rPr>
                <w:rFonts w:asciiTheme="minorHAnsi" w:hAnsiTheme="minorHAnsi"/>
                <w:b/>
              </w:rPr>
            </w:pPr>
            <w:r w:rsidRPr="003609CF">
              <w:rPr>
                <w:rFonts w:asciiTheme="minorHAnsi" w:hAnsiTheme="minorHAnsi"/>
                <w:b/>
                <w:noProof/>
              </w:rPr>
              <w:drawing>
                <wp:inline distT="0" distB="0" distL="0" distR="0" wp14:anchorId="275EBAB0" wp14:editId="782CC781">
                  <wp:extent cx="845820" cy="952500"/>
                  <wp:effectExtent l="0" t="0" r="0" b="0"/>
                  <wp:docPr id="9" name="Grafik 9" descr="C:\Users\Susi\AppData\Local\Microsoft\Windows\Temporary Internet Files\Content.IE5\BK6C3SD6\MC900301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i\AppData\Local\Microsoft\Windows\Temporary Internet Files\Content.IE5\BK6C3SD6\MC90030136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52500"/>
                          </a:xfrm>
                          <a:prstGeom prst="rect">
                            <a:avLst/>
                          </a:prstGeom>
                          <a:noFill/>
                          <a:ln>
                            <a:noFill/>
                          </a:ln>
                        </pic:spPr>
                      </pic:pic>
                    </a:graphicData>
                  </a:graphic>
                </wp:inline>
              </w:drawing>
            </w: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p w:rsidR="00EF63C6" w:rsidRPr="003609CF" w:rsidRDefault="00EF63C6">
            <w:pPr>
              <w:rPr>
                <w:rFonts w:asciiTheme="minorHAnsi" w:hAnsiTheme="minorHAnsi"/>
                <w:b/>
              </w:rPr>
            </w:pPr>
          </w:p>
        </w:tc>
        <w:tc>
          <w:tcPr>
            <w:tcW w:w="7904" w:type="dxa"/>
          </w:tcPr>
          <w:p w:rsidR="00EF63C6" w:rsidRPr="0052693E" w:rsidRDefault="003609CF" w:rsidP="00EF63C6">
            <w:pPr>
              <w:spacing w:before="100" w:beforeAutospacing="1" w:after="100" w:afterAutospacing="1"/>
              <w:jc w:val="both"/>
              <w:outlineLvl w:val="2"/>
              <w:rPr>
                <w:rFonts w:asciiTheme="minorHAnsi" w:hAnsiTheme="minorHAnsi" w:cs="Gautami"/>
                <w:b/>
                <w:bCs/>
                <w:sz w:val="22"/>
                <w:szCs w:val="22"/>
              </w:rPr>
            </w:pPr>
            <w:r w:rsidRPr="0052693E">
              <w:rPr>
                <w:rFonts w:asciiTheme="minorHAnsi" w:hAnsiTheme="minorHAnsi" w:cs="Gautami"/>
                <w:b/>
                <w:bCs/>
                <w:sz w:val="22"/>
                <w:szCs w:val="22"/>
              </w:rPr>
              <w:t xml:space="preserve">        </w:t>
            </w:r>
            <w:r w:rsidR="0052693E">
              <w:rPr>
                <w:rFonts w:asciiTheme="minorHAnsi" w:hAnsiTheme="minorHAnsi" w:cs="Gautami"/>
                <w:b/>
                <w:bCs/>
                <w:sz w:val="22"/>
                <w:szCs w:val="22"/>
              </w:rPr>
              <w:t xml:space="preserve"> </w:t>
            </w:r>
            <w:r w:rsidR="00EF63C6" w:rsidRPr="0052693E">
              <w:rPr>
                <w:rFonts w:asciiTheme="minorHAnsi" w:hAnsiTheme="minorHAnsi" w:cs="Gautami"/>
                <w:b/>
                <w:bCs/>
                <w:sz w:val="22"/>
                <w:szCs w:val="22"/>
              </w:rPr>
              <w:t>DAS SOLLTEN SIE BEI IHREM VORTRAG BEACHTEN:</w:t>
            </w:r>
          </w:p>
          <w:p w:rsidR="00EF63C6" w:rsidRPr="0052693E" w:rsidRDefault="00EF63C6" w:rsidP="00EF63C6">
            <w:pPr>
              <w:numPr>
                <w:ilvl w:val="0"/>
                <w:numId w:val="3"/>
              </w:numPr>
              <w:ind w:left="426" w:hanging="426"/>
              <w:jc w:val="both"/>
              <w:outlineLvl w:val="2"/>
              <w:rPr>
                <w:rFonts w:asciiTheme="minorHAnsi" w:hAnsiTheme="minorHAnsi" w:cs="Gautami"/>
                <w:bCs/>
                <w:sz w:val="22"/>
                <w:szCs w:val="22"/>
              </w:rPr>
            </w:pPr>
            <w:r w:rsidRPr="0052693E">
              <w:rPr>
                <w:rFonts w:asciiTheme="minorHAnsi" w:hAnsiTheme="minorHAnsi" w:cs="Gautami"/>
                <w:b/>
                <w:bCs/>
                <w:sz w:val="22"/>
                <w:szCs w:val="22"/>
              </w:rPr>
              <w:t>R</w:t>
            </w:r>
            <w:r w:rsidRPr="0052693E">
              <w:rPr>
                <w:rFonts w:asciiTheme="minorHAnsi" w:hAnsiTheme="minorHAnsi" w:cs="Gautami"/>
                <w:b/>
                <w:bCs/>
                <w:i/>
                <w:iCs/>
                <w:sz w:val="22"/>
                <w:szCs w:val="22"/>
              </w:rPr>
              <w:t>ichtige Körperhaltung</w:t>
            </w:r>
            <w:r w:rsidRPr="0052693E">
              <w:rPr>
                <w:rFonts w:asciiTheme="minorHAnsi" w:hAnsiTheme="minorHAnsi" w:cs="Gautami"/>
                <w:b/>
                <w:bCs/>
                <w:sz w:val="22"/>
                <w:szCs w:val="22"/>
              </w:rPr>
              <w:t>:</w:t>
            </w:r>
            <w:r w:rsidRPr="0052693E">
              <w:rPr>
                <w:rFonts w:asciiTheme="minorHAnsi" w:hAnsiTheme="minorHAnsi" w:cs="Gautami"/>
                <w:bCs/>
                <w:sz w:val="22"/>
                <w:szCs w:val="22"/>
              </w:rPr>
              <w:t xml:space="preserve"> Stehen Sie aufrecht, Beine parallel, die Arme locker, die Hände offen und nicht verschränkt. Drehen Sie dem Publikum nicht den Rücken zu, sondern halten Sie immer Blickkontakt. Solange Sie etwas an einer Wandtafel/</w:t>
            </w:r>
            <w:r w:rsidR="002C1660">
              <w:rPr>
                <w:rFonts w:asciiTheme="minorHAnsi" w:hAnsiTheme="minorHAnsi" w:cs="Gautami"/>
                <w:bCs/>
                <w:sz w:val="22"/>
                <w:szCs w:val="22"/>
              </w:rPr>
              <w:t xml:space="preserve"> </w:t>
            </w:r>
            <w:r w:rsidRPr="0052693E">
              <w:rPr>
                <w:rFonts w:asciiTheme="minorHAnsi" w:hAnsiTheme="minorHAnsi" w:cs="Gautami"/>
                <w:bCs/>
                <w:sz w:val="22"/>
                <w:szCs w:val="22"/>
              </w:rPr>
              <w:t>Karte zeigen, schweigen Sie und sprechen erst dann wieder, wenn wieder Blickkontakt besteht. Vermeiden Sie Hektik und Verlegenheitsgesten. Kaugummi ist tabu.</w:t>
            </w:r>
          </w:p>
          <w:p w:rsidR="00EF63C6" w:rsidRPr="0052693E" w:rsidRDefault="00EF63C6" w:rsidP="00EF63C6">
            <w:pPr>
              <w:tabs>
                <w:tab w:val="num" w:pos="426"/>
              </w:tabs>
              <w:ind w:left="426" w:hanging="426"/>
              <w:jc w:val="both"/>
              <w:rPr>
                <w:rFonts w:asciiTheme="minorHAnsi" w:hAnsiTheme="minorHAnsi" w:cs="Gautami"/>
                <w:sz w:val="22"/>
                <w:szCs w:val="22"/>
              </w:rPr>
            </w:pPr>
          </w:p>
          <w:p w:rsidR="00EF63C6" w:rsidRPr="0052693E" w:rsidRDefault="00EF63C6" w:rsidP="00EF63C6">
            <w:pPr>
              <w:numPr>
                <w:ilvl w:val="0"/>
                <w:numId w:val="3"/>
              </w:numPr>
              <w:ind w:left="426" w:hanging="426"/>
              <w:jc w:val="both"/>
              <w:rPr>
                <w:rFonts w:asciiTheme="minorHAnsi" w:hAnsiTheme="minorHAnsi" w:cs="Gautami"/>
                <w:sz w:val="22"/>
                <w:szCs w:val="22"/>
              </w:rPr>
            </w:pPr>
            <w:r w:rsidRPr="0052693E">
              <w:rPr>
                <w:rFonts w:asciiTheme="minorHAnsi" w:hAnsiTheme="minorHAnsi" w:cs="Gautami"/>
                <w:b/>
                <w:i/>
                <w:iCs/>
                <w:sz w:val="22"/>
                <w:szCs w:val="22"/>
              </w:rPr>
              <w:t>Richtige Gestik</w:t>
            </w:r>
            <w:r w:rsidRPr="0052693E">
              <w:rPr>
                <w:rFonts w:asciiTheme="minorHAnsi" w:hAnsiTheme="minorHAnsi" w:cs="Gautami"/>
                <w:b/>
                <w:sz w:val="22"/>
                <w:szCs w:val="22"/>
              </w:rPr>
              <w:t>:</w:t>
            </w:r>
            <w:r w:rsidRPr="0052693E">
              <w:rPr>
                <w:rFonts w:asciiTheme="minorHAnsi" w:hAnsiTheme="minorHAnsi" w:cs="Gautami"/>
                <w:sz w:val="22"/>
                <w:szCs w:val="22"/>
              </w:rPr>
              <w:t xml:space="preserve"> Fuchteln Sie nicht wild mit den Armen, aber stehen Sie nicht steif wie ein </w:t>
            </w:r>
            <w:r w:rsidR="00E261DA">
              <w:rPr>
                <w:rFonts w:asciiTheme="minorHAnsi" w:hAnsiTheme="minorHAnsi" w:cs="Gautami"/>
                <w:sz w:val="22"/>
                <w:szCs w:val="22"/>
              </w:rPr>
              <w:t>Stock</w:t>
            </w:r>
            <w:r w:rsidRPr="0052693E">
              <w:rPr>
                <w:rFonts w:asciiTheme="minorHAnsi" w:hAnsiTheme="minorHAnsi" w:cs="Gautami"/>
                <w:sz w:val="22"/>
                <w:szCs w:val="22"/>
              </w:rPr>
              <w:t>. Eine natürliche Bewegung der Arme und Hände unterstützt die Glaubwürdigkeit, weil deutlich wird, dass Sie emotional beteiligt und „echt“ sind.</w:t>
            </w:r>
          </w:p>
          <w:p w:rsidR="00EF63C6" w:rsidRPr="0052693E" w:rsidRDefault="00EF63C6" w:rsidP="00EF63C6">
            <w:pPr>
              <w:tabs>
                <w:tab w:val="num" w:pos="426"/>
              </w:tabs>
              <w:ind w:left="426" w:hanging="426"/>
              <w:jc w:val="both"/>
              <w:rPr>
                <w:rFonts w:asciiTheme="minorHAnsi" w:hAnsiTheme="minorHAnsi" w:cs="Gautami"/>
                <w:sz w:val="22"/>
                <w:szCs w:val="22"/>
              </w:rPr>
            </w:pPr>
          </w:p>
          <w:p w:rsidR="00EF63C6" w:rsidRPr="0052693E" w:rsidRDefault="00EF63C6" w:rsidP="00EF63C6">
            <w:pPr>
              <w:numPr>
                <w:ilvl w:val="0"/>
                <w:numId w:val="3"/>
              </w:numPr>
              <w:ind w:left="426" w:hanging="426"/>
              <w:jc w:val="both"/>
              <w:rPr>
                <w:rFonts w:asciiTheme="minorHAnsi" w:hAnsiTheme="minorHAnsi" w:cs="Gautami"/>
                <w:sz w:val="22"/>
                <w:szCs w:val="22"/>
              </w:rPr>
            </w:pPr>
            <w:r w:rsidRPr="0052693E">
              <w:rPr>
                <w:rFonts w:asciiTheme="minorHAnsi" w:hAnsiTheme="minorHAnsi" w:cs="Gautami"/>
                <w:b/>
                <w:i/>
                <w:iCs/>
                <w:sz w:val="22"/>
                <w:szCs w:val="22"/>
              </w:rPr>
              <w:t>Richtige Mimik:</w:t>
            </w:r>
            <w:r w:rsidRPr="0052693E">
              <w:rPr>
                <w:rFonts w:asciiTheme="minorHAnsi" w:hAnsiTheme="minorHAnsi" w:cs="Gautami"/>
                <w:sz w:val="22"/>
                <w:szCs w:val="22"/>
              </w:rPr>
              <w:t xml:space="preserve"> Machen Sie ein freundliches Gesicht, lächeln Sie, achten Sie auf einen ruhigen, steten Blick. Schauen Sie abwechselnd auf Ihre Zuhörer und stellen Sie damit nonverbal den Kontakt her.</w:t>
            </w:r>
          </w:p>
          <w:p w:rsidR="00EF63C6" w:rsidRPr="0052693E" w:rsidRDefault="00EF63C6" w:rsidP="00EF63C6">
            <w:pPr>
              <w:tabs>
                <w:tab w:val="num" w:pos="426"/>
              </w:tabs>
              <w:ind w:left="426" w:hanging="426"/>
              <w:jc w:val="both"/>
              <w:rPr>
                <w:rFonts w:asciiTheme="minorHAnsi" w:hAnsiTheme="minorHAnsi" w:cs="Gautami"/>
                <w:sz w:val="22"/>
                <w:szCs w:val="22"/>
              </w:rPr>
            </w:pPr>
          </w:p>
          <w:p w:rsidR="00EF63C6" w:rsidRPr="0052693E" w:rsidRDefault="00EF63C6" w:rsidP="00EF63C6">
            <w:pPr>
              <w:numPr>
                <w:ilvl w:val="0"/>
                <w:numId w:val="3"/>
              </w:numPr>
              <w:ind w:left="426" w:hanging="426"/>
              <w:jc w:val="both"/>
              <w:rPr>
                <w:rFonts w:asciiTheme="minorHAnsi" w:hAnsiTheme="minorHAnsi" w:cs="Gautami"/>
                <w:sz w:val="22"/>
                <w:szCs w:val="22"/>
              </w:rPr>
            </w:pPr>
            <w:r w:rsidRPr="0052693E">
              <w:rPr>
                <w:rFonts w:asciiTheme="minorHAnsi" w:hAnsiTheme="minorHAnsi" w:cs="Gautami"/>
                <w:b/>
                <w:i/>
                <w:iCs/>
                <w:sz w:val="22"/>
                <w:szCs w:val="22"/>
              </w:rPr>
              <w:t>Richtige Sprechweise</w:t>
            </w:r>
            <w:r w:rsidRPr="0052693E">
              <w:rPr>
                <w:rFonts w:asciiTheme="minorHAnsi" w:hAnsiTheme="minorHAnsi" w:cs="Gautami"/>
                <w:b/>
                <w:sz w:val="22"/>
                <w:szCs w:val="22"/>
              </w:rPr>
              <w:t>:</w:t>
            </w:r>
            <w:r w:rsidRPr="0052693E">
              <w:rPr>
                <w:rFonts w:asciiTheme="minorHAnsi" w:hAnsiTheme="minorHAnsi" w:cs="Gautami"/>
                <w:sz w:val="22"/>
                <w:szCs w:val="22"/>
              </w:rPr>
              <w:t xml:space="preserve"> Sprechen Sie laut, deutlich, akzentuiert. Wechseln Sie die Sprech</w:t>
            </w:r>
            <w:r w:rsidRPr="0052693E">
              <w:rPr>
                <w:rFonts w:asciiTheme="minorHAnsi" w:hAnsiTheme="minorHAnsi" w:cs="Gautami"/>
                <w:sz w:val="22"/>
                <w:szCs w:val="22"/>
              </w:rPr>
              <w:softHyphen/>
              <w:t>weise ab (Tonfall, Lautstärke, Betonung), legen Sie Sprechpausen ein. Benutzen Sie kurze Hauptsätze. Bringen Sie die Dinge auf den Punkt. Das fördert die Verständlichkeit.</w:t>
            </w:r>
          </w:p>
          <w:p w:rsidR="00EF63C6" w:rsidRPr="0052693E" w:rsidRDefault="00EF63C6" w:rsidP="00EF63C6">
            <w:pPr>
              <w:tabs>
                <w:tab w:val="num" w:pos="426"/>
              </w:tabs>
              <w:ind w:left="426" w:hanging="426"/>
              <w:jc w:val="both"/>
              <w:rPr>
                <w:rFonts w:asciiTheme="minorHAnsi" w:hAnsiTheme="minorHAnsi" w:cs="Gautami"/>
                <w:sz w:val="22"/>
                <w:szCs w:val="22"/>
              </w:rPr>
            </w:pPr>
          </w:p>
          <w:p w:rsidR="00EF63C6" w:rsidRPr="0052693E" w:rsidRDefault="00EF63C6" w:rsidP="00EF63C6">
            <w:pPr>
              <w:numPr>
                <w:ilvl w:val="0"/>
                <w:numId w:val="3"/>
              </w:numPr>
              <w:ind w:left="426" w:hanging="426"/>
              <w:jc w:val="both"/>
              <w:rPr>
                <w:rFonts w:asciiTheme="minorHAnsi" w:hAnsiTheme="minorHAnsi" w:cs="Gautami"/>
                <w:sz w:val="22"/>
                <w:szCs w:val="22"/>
              </w:rPr>
            </w:pPr>
            <w:r w:rsidRPr="0052693E">
              <w:rPr>
                <w:rFonts w:asciiTheme="minorHAnsi" w:hAnsiTheme="minorHAnsi" w:cs="Gautami"/>
                <w:b/>
                <w:i/>
                <w:iCs/>
                <w:sz w:val="22"/>
                <w:szCs w:val="22"/>
              </w:rPr>
              <w:t>Die Zuhörer immer im Visier:</w:t>
            </w:r>
            <w:r w:rsidRPr="0052693E">
              <w:rPr>
                <w:rFonts w:asciiTheme="minorHAnsi" w:hAnsiTheme="minorHAnsi" w:cs="Gautami"/>
                <w:i/>
                <w:iCs/>
                <w:sz w:val="22"/>
                <w:szCs w:val="22"/>
              </w:rPr>
              <w:t xml:space="preserve"> </w:t>
            </w:r>
            <w:r w:rsidRPr="0052693E">
              <w:rPr>
                <w:rFonts w:asciiTheme="minorHAnsi" w:hAnsiTheme="minorHAnsi" w:cs="Gautami"/>
                <w:sz w:val="22"/>
                <w:szCs w:val="22"/>
              </w:rPr>
              <w:t xml:space="preserve">Überfluten Sie Ihr Publikum nicht </w:t>
            </w:r>
            <w:r w:rsidR="00E261DA">
              <w:rPr>
                <w:rFonts w:asciiTheme="minorHAnsi" w:hAnsiTheme="minorHAnsi" w:cs="Gautami"/>
                <w:sz w:val="22"/>
                <w:szCs w:val="22"/>
              </w:rPr>
              <w:t xml:space="preserve">mit </w:t>
            </w:r>
            <w:r w:rsidRPr="0052693E">
              <w:rPr>
                <w:rFonts w:asciiTheme="minorHAnsi" w:hAnsiTheme="minorHAnsi" w:cs="Gautami"/>
                <w:sz w:val="22"/>
                <w:szCs w:val="22"/>
              </w:rPr>
              <w:t xml:space="preserve"> unnötig viele</w:t>
            </w:r>
            <w:r w:rsidR="00E261DA">
              <w:rPr>
                <w:rFonts w:asciiTheme="minorHAnsi" w:hAnsiTheme="minorHAnsi" w:cs="Gautami"/>
                <w:sz w:val="22"/>
                <w:szCs w:val="22"/>
              </w:rPr>
              <w:t>n</w:t>
            </w:r>
            <w:r w:rsidRPr="0052693E">
              <w:rPr>
                <w:rFonts w:asciiTheme="minorHAnsi" w:hAnsiTheme="minorHAnsi" w:cs="Gautami"/>
                <w:sz w:val="22"/>
                <w:szCs w:val="22"/>
              </w:rPr>
              <w:t xml:space="preserve"> Fremdwörter</w:t>
            </w:r>
            <w:r w:rsidR="00E261DA">
              <w:rPr>
                <w:rFonts w:asciiTheme="minorHAnsi" w:hAnsiTheme="minorHAnsi" w:cs="Gautami"/>
                <w:sz w:val="22"/>
                <w:szCs w:val="22"/>
              </w:rPr>
              <w:t>n</w:t>
            </w:r>
            <w:r w:rsidRPr="0052693E">
              <w:rPr>
                <w:rFonts w:asciiTheme="minorHAnsi" w:hAnsiTheme="minorHAnsi" w:cs="Gautami"/>
                <w:sz w:val="22"/>
                <w:szCs w:val="22"/>
              </w:rPr>
              <w:t xml:space="preserve">, </w:t>
            </w:r>
            <w:r w:rsidR="00E261DA">
              <w:rPr>
                <w:rFonts w:asciiTheme="minorHAnsi" w:hAnsiTheme="minorHAnsi" w:cs="Gautami"/>
                <w:sz w:val="22"/>
                <w:szCs w:val="22"/>
              </w:rPr>
              <w:t>mit</w:t>
            </w:r>
            <w:r w:rsidRPr="0052693E">
              <w:rPr>
                <w:rFonts w:asciiTheme="minorHAnsi" w:hAnsiTheme="minorHAnsi" w:cs="Gautami"/>
                <w:sz w:val="22"/>
                <w:szCs w:val="22"/>
              </w:rPr>
              <w:t xml:space="preserve"> große</w:t>
            </w:r>
            <w:r w:rsidR="00E261DA">
              <w:rPr>
                <w:rFonts w:asciiTheme="minorHAnsi" w:hAnsiTheme="minorHAnsi" w:cs="Gautami"/>
                <w:sz w:val="22"/>
                <w:szCs w:val="22"/>
              </w:rPr>
              <w:t>r</w:t>
            </w:r>
            <w:r w:rsidRPr="0052693E">
              <w:rPr>
                <w:rFonts w:asciiTheme="minorHAnsi" w:hAnsiTheme="minorHAnsi" w:cs="Gautami"/>
                <w:sz w:val="22"/>
                <w:szCs w:val="22"/>
              </w:rPr>
              <w:t xml:space="preserve"> Hektik, </w:t>
            </w:r>
            <w:r w:rsidR="00E261DA">
              <w:rPr>
                <w:rFonts w:asciiTheme="minorHAnsi" w:hAnsiTheme="minorHAnsi" w:cs="Gautami"/>
                <w:sz w:val="22"/>
                <w:szCs w:val="22"/>
              </w:rPr>
              <w:t>mit</w:t>
            </w:r>
            <w:r w:rsidRPr="0052693E">
              <w:rPr>
                <w:rFonts w:asciiTheme="minorHAnsi" w:hAnsiTheme="minorHAnsi" w:cs="Gautami"/>
                <w:sz w:val="22"/>
                <w:szCs w:val="22"/>
              </w:rPr>
              <w:t xml:space="preserve"> zu viele</w:t>
            </w:r>
            <w:r w:rsidR="00E261DA">
              <w:rPr>
                <w:rFonts w:asciiTheme="minorHAnsi" w:hAnsiTheme="minorHAnsi" w:cs="Gautami"/>
                <w:sz w:val="22"/>
                <w:szCs w:val="22"/>
              </w:rPr>
              <w:t>n</w:t>
            </w:r>
            <w:r w:rsidRPr="0052693E">
              <w:rPr>
                <w:rFonts w:asciiTheme="minorHAnsi" w:hAnsiTheme="minorHAnsi" w:cs="Gautami"/>
                <w:sz w:val="22"/>
                <w:szCs w:val="22"/>
              </w:rPr>
              <w:t xml:space="preserve"> Folien</w:t>
            </w:r>
            <w:r w:rsidR="00E261DA">
              <w:rPr>
                <w:rFonts w:asciiTheme="minorHAnsi" w:hAnsiTheme="minorHAnsi" w:cs="Gautami"/>
                <w:sz w:val="22"/>
                <w:szCs w:val="22"/>
              </w:rPr>
              <w:t xml:space="preserve"> oder</w:t>
            </w:r>
            <w:r w:rsidRPr="0052693E">
              <w:rPr>
                <w:rFonts w:asciiTheme="minorHAnsi" w:hAnsiTheme="minorHAnsi" w:cs="Gautami"/>
                <w:sz w:val="22"/>
                <w:szCs w:val="22"/>
              </w:rPr>
              <w:t xml:space="preserve"> zu schnelle</w:t>
            </w:r>
            <w:r w:rsidR="00E261DA">
              <w:rPr>
                <w:rFonts w:asciiTheme="minorHAnsi" w:hAnsiTheme="minorHAnsi" w:cs="Gautami"/>
                <w:sz w:val="22"/>
                <w:szCs w:val="22"/>
              </w:rPr>
              <w:t>r</w:t>
            </w:r>
            <w:r w:rsidRPr="0052693E">
              <w:rPr>
                <w:rFonts w:asciiTheme="minorHAnsi" w:hAnsiTheme="minorHAnsi" w:cs="Gautami"/>
                <w:sz w:val="22"/>
                <w:szCs w:val="22"/>
              </w:rPr>
              <w:t xml:space="preserve"> Abfolge der Folien. Lassen Sie den Zuhörern Zeit, das Gehörte und Gesehene zu verarbeiten. Sprechen Sie Ihre Zuhörer immer mal wieder direkt an, stellen Sie Fragen, appellieren Sie an das Vor</w:t>
            </w:r>
            <w:r w:rsidRPr="0052693E">
              <w:rPr>
                <w:rFonts w:asciiTheme="minorHAnsi" w:hAnsiTheme="minorHAnsi" w:cs="Gautami"/>
                <w:sz w:val="22"/>
                <w:szCs w:val="22"/>
              </w:rPr>
              <w:softHyphen/>
              <w:t xml:space="preserve">wissen. Dieser „Dialog“ schafft Nähe. </w:t>
            </w:r>
          </w:p>
          <w:p w:rsidR="00EF63C6" w:rsidRPr="0052693E" w:rsidRDefault="00EF63C6" w:rsidP="00EF63C6">
            <w:pPr>
              <w:tabs>
                <w:tab w:val="num" w:pos="426"/>
              </w:tabs>
              <w:ind w:left="426" w:hanging="426"/>
              <w:jc w:val="both"/>
              <w:rPr>
                <w:rFonts w:asciiTheme="minorHAnsi" w:hAnsiTheme="minorHAnsi" w:cs="Gautami"/>
                <w:sz w:val="22"/>
                <w:szCs w:val="22"/>
              </w:rPr>
            </w:pPr>
          </w:p>
          <w:p w:rsidR="00EF63C6" w:rsidRPr="0052693E" w:rsidRDefault="00EF63C6" w:rsidP="00EF63C6">
            <w:pPr>
              <w:numPr>
                <w:ilvl w:val="0"/>
                <w:numId w:val="3"/>
              </w:numPr>
              <w:ind w:left="426" w:hanging="426"/>
              <w:jc w:val="both"/>
              <w:rPr>
                <w:rFonts w:asciiTheme="minorHAnsi" w:hAnsiTheme="minorHAnsi" w:cs="Gautami"/>
                <w:i/>
                <w:iCs/>
                <w:sz w:val="22"/>
                <w:szCs w:val="22"/>
              </w:rPr>
            </w:pPr>
            <w:r w:rsidRPr="0052693E">
              <w:rPr>
                <w:rFonts w:asciiTheme="minorHAnsi" w:hAnsiTheme="minorHAnsi" w:cs="Gautami"/>
                <w:b/>
                <w:i/>
                <w:iCs/>
                <w:sz w:val="22"/>
                <w:szCs w:val="22"/>
              </w:rPr>
              <w:t>Stichwortmanuskript:</w:t>
            </w:r>
            <w:r w:rsidRPr="0052693E">
              <w:rPr>
                <w:rFonts w:asciiTheme="minorHAnsi" w:hAnsiTheme="minorHAnsi" w:cs="Gautami"/>
                <w:i/>
                <w:iCs/>
                <w:sz w:val="22"/>
                <w:szCs w:val="22"/>
              </w:rPr>
              <w:t xml:space="preserve"> </w:t>
            </w:r>
            <w:r w:rsidRPr="0052693E">
              <w:rPr>
                <w:rFonts w:asciiTheme="minorHAnsi" w:hAnsiTheme="minorHAnsi" w:cs="Gautami"/>
                <w:sz w:val="22"/>
                <w:szCs w:val="22"/>
              </w:rPr>
              <w:t>NIE vollständige Sätze auf die Karteikarten schreiben, sondern nur Stichw</w:t>
            </w:r>
            <w:r w:rsidR="00E261DA">
              <w:rPr>
                <w:rFonts w:asciiTheme="minorHAnsi" w:hAnsiTheme="minorHAnsi" w:cs="Gautami"/>
                <w:sz w:val="22"/>
                <w:szCs w:val="22"/>
              </w:rPr>
              <w:t>örter</w:t>
            </w:r>
            <w:r w:rsidRPr="0052693E">
              <w:rPr>
                <w:rFonts w:asciiTheme="minorHAnsi" w:hAnsiTheme="minorHAnsi" w:cs="Gautami"/>
                <w:sz w:val="22"/>
                <w:szCs w:val="22"/>
              </w:rPr>
              <w:t>. Dann ist man gezwungen, Sätze frei zu formulieren. Das ist verständlicher und authentischer. Das Sprechtempo wird durch Denkpausen automatisch vermindert, auch der Blickkontakt ist leichter zu halten.</w:t>
            </w:r>
          </w:p>
          <w:p w:rsidR="00EF63C6" w:rsidRPr="0052693E" w:rsidRDefault="00EF63C6" w:rsidP="00EF63C6">
            <w:pPr>
              <w:tabs>
                <w:tab w:val="num" w:pos="426"/>
              </w:tabs>
              <w:ind w:left="426" w:hanging="426"/>
              <w:jc w:val="both"/>
              <w:rPr>
                <w:rFonts w:asciiTheme="minorHAnsi" w:hAnsiTheme="minorHAnsi" w:cs="Gautami"/>
                <w:i/>
                <w:iCs/>
                <w:sz w:val="22"/>
                <w:szCs w:val="22"/>
              </w:rPr>
            </w:pPr>
          </w:p>
          <w:p w:rsidR="00EF63C6" w:rsidRPr="0052693E" w:rsidRDefault="00EF63C6" w:rsidP="00EF63C6">
            <w:pPr>
              <w:numPr>
                <w:ilvl w:val="0"/>
                <w:numId w:val="3"/>
              </w:numPr>
              <w:ind w:left="426" w:hanging="426"/>
              <w:jc w:val="both"/>
              <w:rPr>
                <w:rFonts w:asciiTheme="minorHAnsi" w:hAnsiTheme="minorHAnsi" w:cs="Gautami"/>
                <w:sz w:val="22"/>
                <w:szCs w:val="22"/>
              </w:rPr>
            </w:pPr>
            <w:r w:rsidRPr="0052693E">
              <w:rPr>
                <w:rFonts w:asciiTheme="minorHAnsi" w:hAnsiTheme="minorHAnsi" w:cs="Gautami"/>
                <w:b/>
                <w:i/>
                <w:iCs/>
                <w:sz w:val="22"/>
                <w:szCs w:val="22"/>
              </w:rPr>
              <w:t>Probesprechen:</w:t>
            </w:r>
            <w:r w:rsidRPr="0052693E">
              <w:rPr>
                <w:rFonts w:asciiTheme="minorHAnsi" w:hAnsiTheme="minorHAnsi" w:cs="Gautami"/>
                <w:i/>
                <w:iCs/>
                <w:sz w:val="22"/>
                <w:szCs w:val="22"/>
              </w:rPr>
              <w:t xml:space="preserve"> </w:t>
            </w:r>
            <w:r w:rsidRPr="0052693E">
              <w:rPr>
                <w:rFonts w:asciiTheme="minorHAnsi" w:hAnsiTheme="minorHAnsi" w:cs="Gautami"/>
                <w:sz w:val="22"/>
                <w:szCs w:val="22"/>
              </w:rPr>
              <w:t>Langsam, laut und deutlich artikulieren, eventuell auf Tonträger aufneh</w:t>
            </w:r>
            <w:r w:rsidRPr="0052693E">
              <w:rPr>
                <w:rFonts w:asciiTheme="minorHAnsi" w:hAnsiTheme="minorHAnsi" w:cs="Gautami"/>
                <w:sz w:val="22"/>
                <w:szCs w:val="22"/>
              </w:rPr>
              <w:softHyphen/>
              <w:t>men, Stichwortkarten gegebenenfalls ergänzen und korrigieren, Zeitbedarf überprüfen, Haltung, Gestik, Mimik kontrollieren. Üben Sie das vorher vor dem Spiegel.</w:t>
            </w:r>
          </w:p>
          <w:p w:rsidR="00EF63C6" w:rsidRPr="0052693E" w:rsidRDefault="00EF63C6">
            <w:pPr>
              <w:rPr>
                <w:rFonts w:asciiTheme="minorHAnsi" w:hAnsiTheme="minorHAnsi"/>
                <w:sz w:val="22"/>
                <w:szCs w:val="22"/>
              </w:rPr>
            </w:pPr>
          </w:p>
        </w:tc>
      </w:tr>
      <w:tr w:rsidR="00EF63C6" w:rsidTr="002C1660">
        <w:trPr>
          <w:trHeight w:val="1671"/>
        </w:trPr>
        <w:tc>
          <w:tcPr>
            <w:tcW w:w="1384" w:type="dxa"/>
            <w:shd w:val="clear" w:color="auto" w:fill="C6D9F1" w:themeFill="text2" w:themeFillTint="33"/>
          </w:tcPr>
          <w:p w:rsidR="00EF63C6" w:rsidRPr="003609CF" w:rsidRDefault="00EF63C6">
            <w:pPr>
              <w:rPr>
                <w:rFonts w:asciiTheme="minorHAnsi" w:hAnsiTheme="minorHAnsi"/>
                <w:noProof/>
              </w:rPr>
            </w:pPr>
            <w:r w:rsidRPr="003609CF">
              <w:rPr>
                <w:rFonts w:asciiTheme="minorHAnsi" w:hAnsiTheme="minorHAnsi"/>
                <w:noProof/>
              </w:rPr>
              <w:t xml:space="preserve">III  </w:t>
            </w:r>
          </w:p>
          <w:p w:rsidR="00EF63C6" w:rsidRPr="003609CF" w:rsidRDefault="0052693E">
            <w:pPr>
              <w:rPr>
                <w:rFonts w:asciiTheme="minorHAnsi" w:hAnsiTheme="minorHAnsi"/>
                <w:noProof/>
              </w:rPr>
            </w:pPr>
            <w:bookmarkStart w:id="0" w:name="_GoBack"/>
            <w:r w:rsidRPr="003609CF">
              <w:rPr>
                <w:rFonts w:asciiTheme="minorHAnsi" w:hAnsiTheme="minorHAnsi"/>
                <w:noProof/>
              </w:rPr>
              <w:drawing>
                <wp:inline distT="0" distB="0" distL="0" distR="0" wp14:anchorId="2AA14B3C" wp14:editId="08D01943">
                  <wp:extent cx="777240" cy="556260"/>
                  <wp:effectExtent l="0" t="0" r="3810" b="0"/>
                  <wp:docPr id="11" name="Grafik 11" descr="C:\Users\Susi\AppData\Local\Microsoft\Windows\Temporary Internet Files\Content.IE5\NV7FA3WW\MC900239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i\AppData\Local\Microsoft\Windows\Temporary Internet Files\Content.IE5\NV7FA3WW\MC90023920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57" cy="554984"/>
                          </a:xfrm>
                          <a:prstGeom prst="rect">
                            <a:avLst/>
                          </a:prstGeom>
                          <a:noFill/>
                          <a:ln>
                            <a:noFill/>
                          </a:ln>
                        </pic:spPr>
                      </pic:pic>
                    </a:graphicData>
                  </a:graphic>
                </wp:inline>
              </w:drawing>
            </w:r>
            <w:bookmarkEnd w:id="0"/>
          </w:p>
          <w:p w:rsidR="00EF63C6" w:rsidRPr="003609CF" w:rsidRDefault="00EF63C6">
            <w:pPr>
              <w:rPr>
                <w:rFonts w:asciiTheme="minorHAnsi" w:hAnsiTheme="minorHAnsi"/>
                <w:noProof/>
              </w:rPr>
            </w:pPr>
          </w:p>
          <w:p w:rsidR="00EF63C6" w:rsidRPr="003609CF" w:rsidRDefault="00EF63C6">
            <w:pPr>
              <w:rPr>
                <w:rFonts w:asciiTheme="minorHAnsi" w:hAnsiTheme="minorHAnsi"/>
              </w:rPr>
            </w:pPr>
          </w:p>
        </w:tc>
        <w:tc>
          <w:tcPr>
            <w:tcW w:w="7904" w:type="dxa"/>
          </w:tcPr>
          <w:p w:rsidR="00EF63C6" w:rsidRPr="0052693E" w:rsidRDefault="00EF63C6" w:rsidP="009768CD">
            <w:pPr>
              <w:numPr>
                <w:ilvl w:val="0"/>
                <w:numId w:val="5"/>
              </w:numPr>
              <w:ind w:left="459" w:hanging="425"/>
              <w:jc w:val="both"/>
              <w:rPr>
                <w:rFonts w:asciiTheme="minorHAnsi" w:hAnsiTheme="minorHAnsi" w:cs="Gautami"/>
                <w:sz w:val="22"/>
                <w:szCs w:val="22"/>
              </w:rPr>
            </w:pPr>
            <w:r w:rsidRPr="00131DE1">
              <w:rPr>
                <w:rFonts w:asciiTheme="minorHAnsi" w:hAnsiTheme="minorHAnsi" w:cs="Gautami"/>
                <w:b/>
                <w:sz w:val="22"/>
                <w:szCs w:val="22"/>
              </w:rPr>
              <w:t xml:space="preserve">Lampenfieber </w:t>
            </w:r>
            <w:r w:rsidRPr="0052693E">
              <w:rPr>
                <w:rFonts w:asciiTheme="minorHAnsi" w:hAnsiTheme="minorHAnsi" w:cs="Gautami"/>
                <w:sz w:val="22"/>
                <w:szCs w:val="22"/>
              </w:rPr>
              <w:t>ist normal. Es kann sogar nützlich sein, weil Ihr Hirn vollständig aktiviert ist. Mit jeder Übung wird es besser!</w:t>
            </w:r>
          </w:p>
          <w:p w:rsidR="00EF63C6" w:rsidRPr="0052693E" w:rsidRDefault="00EF63C6" w:rsidP="009768CD">
            <w:pPr>
              <w:numPr>
                <w:ilvl w:val="0"/>
                <w:numId w:val="5"/>
              </w:numPr>
              <w:ind w:left="459" w:hanging="425"/>
              <w:jc w:val="both"/>
              <w:rPr>
                <w:rFonts w:asciiTheme="minorHAnsi" w:hAnsiTheme="minorHAnsi"/>
                <w:sz w:val="22"/>
                <w:szCs w:val="22"/>
              </w:rPr>
            </w:pPr>
            <w:r w:rsidRPr="0052693E">
              <w:rPr>
                <w:rFonts w:asciiTheme="minorHAnsi" w:hAnsiTheme="minorHAnsi" w:cs="Gautami"/>
                <w:sz w:val="22"/>
                <w:szCs w:val="22"/>
              </w:rPr>
              <w:t>Eine gute Vorbereitung macht Sie sicher</w:t>
            </w:r>
            <w:r w:rsidR="0052693E">
              <w:rPr>
                <w:rFonts w:asciiTheme="minorHAnsi" w:hAnsiTheme="minorHAnsi" w:cs="Gautami"/>
                <w:sz w:val="22"/>
                <w:szCs w:val="22"/>
              </w:rPr>
              <w:t xml:space="preserve">. </w:t>
            </w:r>
            <w:r w:rsidRPr="0052693E">
              <w:rPr>
                <w:rFonts w:asciiTheme="minorHAnsi" w:hAnsiTheme="minorHAnsi" w:cs="Gautami"/>
                <w:sz w:val="22"/>
                <w:szCs w:val="22"/>
              </w:rPr>
              <w:t>Entspannen Sie sich vorher, achten Sie auf eine ruhige Atmung tief in den Bauchraum.</w:t>
            </w:r>
          </w:p>
        </w:tc>
      </w:tr>
    </w:tbl>
    <w:p w:rsidR="00EF63C6" w:rsidRDefault="00EF63C6"/>
    <w:sectPr w:rsidR="00EF63C6" w:rsidSect="0052693E">
      <w:headerReference w:type="default" r:id="rId10"/>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2A" w:rsidRDefault="0065082A" w:rsidP="00C03810">
      <w:r>
        <w:separator/>
      </w:r>
    </w:p>
  </w:endnote>
  <w:endnote w:type="continuationSeparator" w:id="0">
    <w:p w:rsidR="0065082A" w:rsidRDefault="0065082A" w:rsidP="00C0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2A" w:rsidRDefault="0065082A" w:rsidP="00C03810">
      <w:r>
        <w:separator/>
      </w:r>
    </w:p>
  </w:footnote>
  <w:footnote w:type="continuationSeparator" w:id="0">
    <w:p w:rsidR="0065082A" w:rsidRDefault="0065082A" w:rsidP="00C0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10" w:rsidRPr="00C03810" w:rsidRDefault="00C03810" w:rsidP="00C03810">
    <w:pPr>
      <w:pBdr>
        <w:bottom w:val="single" w:sz="12" w:space="1" w:color="auto"/>
      </w:pBdr>
      <w:shd w:val="clear" w:color="auto" w:fill="C6D9F1"/>
      <w:jc w:val="both"/>
      <w:rPr>
        <w:rFonts w:ascii="Calibri" w:eastAsia="Arial Unicode MS" w:hAnsi="Calibri" w:cs="Calibri"/>
        <w:b/>
        <w:bCs/>
      </w:rPr>
    </w:pPr>
    <w:r w:rsidRPr="00C03810">
      <w:rPr>
        <w:noProof/>
      </w:rPr>
      <w:drawing>
        <wp:anchor distT="0" distB="0" distL="114300" distR="114300" simplePos="0" relativeHeight="251659264" behindDoc="0" locked="0" layoutInCell="1" allowOverlap="1" wp14:anchorId="4AF4C8AA" wp14:editId="2BC2FB4C">
          <wp:simplePos x="0" y="0"/>
          <wp:positionH relativeFrom="column">
            <wp:posOffset>-4445</wp:posOffset>
          </wp:positionH>
          <wp:positionV relativeFrom="paragraph">
            <wp:posOffset>-42545</wp:posOffset>
          </wp:positionV>
          <wp:extent cx="1790700" cy="447675"/>
          <wp:effectExtent l="0" t="0" r="0" b="9525"/>
          <wp:wrapTight wrapText="bothSides">
            <wp:wrapPolygon edited="0">
              <wp:start x="0" y="0"/>
              <wp:lineTo x="0" y="21140"/>
              <wp:lineTo x="21370" y="21140"/>
              <wp:lineTo x="2137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pic:spPr>
              </pic:pic>
            </a:graphicData>
          </a:graphic>
          <wp14:sizeRelH relativeFrom="page">
            <wp14:pctWidth>0</wp14:pctWidth>
          </wp14:sizeRelH>
          <wp14:sizeRelV relativeFrom="page">
            <wp14:pctHeight>0</wp14:pctHeight>
          </wp14:sizeRelV>
        </wp:anchor>
      </w:drawing>
    </w:r>
    <w:r w:rsidRPr="00C03810">
      <w:rPr>
        <w:rFonts w:ascii="Calibri" w:eastAsia="Arial Unicode MS" w:hAnsi="Calibri" w:cs="Calibri"/>
        <w:b/>
        <w:bCs/>
      </w:rPr>
      <w:t xml:space="preserve">                                                        Lern-</w:t>
    </w:r>
    <w:r w:rsidR="002C1660">
      <w:rPr>
        <w:rFonts w:ascii="Calibri" w:eastAsia="Arial Unicode MS" w:hAnsi="Calibri" w:cs="Calibri"/>
        <w:b/>
        <w:bCs/>
      </w:rPr>
      <w:t xml:space="preserve"> </w:t>
    </w:r>
    <w:r w:rsidRPr="00C03810">
      <w:rPr>
        <w:rFonts w:ascii="Calibri" w:eastAsia="Arial Unicode MS" w:hAnsi="Calibri" w:cs="Calibri"/>
        <w:b/>
        <w:bCs/>
      </w:rPr>
      <w:t xml:space="preserve">und Arbeitstechniken  </w:t>
    </w:r>
    <w:r w:rsidRPr="00C03810">
      <w:rPr>
        <w:rFonts w:ascii="Calibri" w:eastAsia="Arial Unicode MS" w:hAnsi="Calibri" w:cs="Calibri"/>
        <w:b/>
        <w:bCs/>
      </w:rPr>
      <w:tab/>
    </w:r>
    <w:r w:rsidRPr="00C03810">
      <w:rPr>
        <w:rFonts w:ascii="Calibri" w:eastAsia="Arial Unicode MS" w:hAnsi="Calibri" w:cs="Calibri"/>
        <w:b/>
        <w:bCs/>
      </w:rPr>
      <w:tab/>
    </w:r>
    <w:r w:rsidRPr="00C03810">
      <w:rPr>
        <w:rFonts w:ascii="Calibri" w:eastAsia="Arial Unicode MS" w:hAnsi="Calibri" w:cs="Calibri"/>
        <w:b/>
        <w:bCs/>
      </w:rPr>
      <w:tab/>
    </w:r>
    <w:r w:rsidRPr="00C03810">
      <w:rPr>
        <w:rFonts w:ascii="Calibri" w:eastAsia="Arial Unicode MS" w:hAnsi="Calibri" w:cs="Calibri"/>
        <w:b/>
        <w:bCs/>
      </w:rPr>
      <w:tab/>
    </w:r>
  </w:p>
  <w:p w:rsidR="00C03810" w:rsidRPr="00C03810" w:rsidRDefault="00C03810" w:rsidP="00C03810">
    <w:pPr>
      <w:pBdr>
        <w:bottom w:val="single" w:sz="12" w:space="1" w:color="auto"/>
      </w:pBdr>
      <w:shd w:val="clear" w:color="auto" w:fill="C6D9F1"/>
      <w:jc w:val="both"/>
      <w:rPr>
        <w:rFonts w:ascii="Calibri" w:eastAsia="Arial Unicode MS" w:hAnsi="Calibri" w:cs="Calibri"/>
        <w:b/>
        <w:bCs/>
      </w:rPr>
    </w:pPr>
  </w:p>
  <w:p w:rsidR="00C03810" w:rsidRPr="00C03810" w:rsidRDefault="00C03810" w:rsidP="00C03810">
    <w:pPr>
      <w:shd w:val="clear" w:color="auto" w:fill="95B3D7"/>
      <w:jc w:val="both"/>
      <w:rPr>
        <w:rFonts w:ascii="Calibri" w:eastAsia="Arial Unicode MS" w:hAnsi="Calibri" w:cs="Calibri"/>
        <w:b/>
        <w:bCs/>
        <w:sz w:val="28"/>
        <w:szCs w:val="28"/>
      </w:rPr>
    </w:pPr>
    <w:r w:rsidRPr="00C03810">
      <w:rPr>
        <w:rFonts w:ascii="Calibri" w:eastAsia="Arial Unicode MS" w:hAnsi="Calibri" w:cs="Calibri"/>
        <w:b/>
        <w:bCs/>
      </w:rPr>
      <w:tab/>
    </w:r>
    <w:r w:rsidRPr="00C03810">
      <w:rPr>
        <w:rFonts w:ascii="Calibri" w:eastAsia="Arial Unicode MS" w:hAnsi="Calibri" w:cs="Calibri"/>
        <w:b/>
        <w:bCs/>
      </w:rPr>
      <w:tab/>
    </w:r>
    <w:r w:rsidRPr="00C03810">
      <w:rPr>
        <w:rFonts w:ascii="Calibri" w:eastAsia="Arial Unicode MS" w:hAnsi="Calibri" w:cs="Calibri"/>
        <w:b/>
        <w:bCs/>
      </w:rPr>
      <w:tab/>
    </w:r>
    <w:r w:rsidRPr="00C03810">
      <w:rPr>
        <w:rFonts w:ascii="Calibri" w:eastAsia="Arial Unicode MS" w:hAnsi="Calibri" w:cs="Calibri"/>
        <w:b/>
        <w:bCs/>
        <w:sz w:val="28"/>
        <w:szCs w:val="28"/>
      </w:rPr>
      <w:t xml:space="preserve">                                         </w:t>
    </w:r>
    <w:r>
      <w:rPr>
        <w:rFonts w:ascii="Calibri" w:eastAsia="Arial Unicode MS" w:hAnsi="Calibri" w:cs="Calibri"/>
        <w:b/>
        <w:bCs/>
        <w:sz w:val="28"/>
        <w:szCs w:val="28"/>
      </w:rPr>
      <w:t xml:space="preserve">        </w:t>
    </w:r>
    <w:r>
      <w:rPr>
        <w:rFonts w:ascii="Calibri" w:eastAsia="Arial Unicode MS" w:hAnsi="Calibri" w:cs="Calibri"/>
        <w:b/>
        <w:bCs/>
        <w:sz w:val="28"/>
        <w:szCs w:val="28"/>
      </w:rPr>
      <w:tab/>
    </w:r>
    <w:r w:rsidRPr="00C03810">
      <w:rPr>
        <w:rFonts w:ascii="Calibri" w:eastAsia="Arial Unicode MS" w:hAnsi="Calibri" w:cs="Calibri"/>
        <w:b/>
        <w:bCs/>
        <w:sz w:val="28"/>
        <w:szCs w:val="28"/>
      </w:rPr>
      <w:t xml:space="preserve">           </w:t>
    </w:r>
    <w:r>
      <w:rPr>
        <w:rFonts w:ascii="Calibri" w:eastAsia="Arial Unicode MS" w:hAnsi="Calibri" w:cs="Calibri"/>
        <w:b/>
        <w:bCs/>
        <w:sz w:val="28"/>
        <w:szCs w:val="28"/>
      </w:rPr>
      <w:t>4</w:t>
    </w:r>
    <w:r w:rsidRPr="00C03810">
      <w:rPr>
        <w:rFonts w:ascii="Calibri" w:eastAsia="Arial Unicode MS" w:hAnsi="Calibri" w:cs="Calibri"/>
        <w:b/>
        <w:bCs/>
        <w:sz w:val="28"/>
        <w:szCs w:val="28"/>
      </w:rPr>
      <w:t>.2.</w:t>
    </w:r>
    <w:r>
      <w:rPr>
        <w:rFonts w:ascii="Calibri" w:eastAsia="Arial Unicode MS" w:hAnsi="Calibri" w:cs="Calibri"/>
        <w:b/>
        <w:bCs/>
        <w:sz w:val="28"/>
        <w:szCs w:val="28"/>
      </w:rPr>
      <w:t xml:space="preserve"> Vortragstechnik</w:t>
    </w:r>
    <w:r w:rsidRPr="00C03810">
      <w:rPr>
        <w:rFonts w:ascii="Calibri" w:eastAsia="Arial Unicode MS" w:hAnsi="Calibri" w:cs="Calibri"/>
        <w:b/>
        <w:bCs/>
        <w:sz w:val="28"/>
        <w:szCs w:val="28"/>
      </w:rPr>
      <w:t xml:space="preserve"> </w:t>
    </w:r>
  </w:p>
  <w:p w:rsidR="00C03810" w:rsidRDefault="00C038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43F"/>
    <w:multiLevelType w:val="hybridMultilevel"/>
    <w:tmpl w:val="39FA870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49C66C8"/>
    <w:multiLevelType w:val="hybridMultilevel"/>
    <w:tmpl w:val="FF7A7E46"/>
    <w:lvl w:ilvl="0" w:tplc="C4D4B2A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5B2B43"/>
    <w:multiLevelType w:val="hybridMultilevel"/>
    <w:tmpl w:val="D8F4A7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AA6A2A"/>
    <w:multiLevelType w:val="hybridMultilevel"/>
    <w:tmpl w:val="1D607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A1029E"/>
    <w:multiLevelType w:val="hybridMultilevel"/>
    <w:tmpl w:val="410825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7"/>
    <w:rsid w:val="00131DE1"/>
    <w:rsid w:val="002C1660"/>
    <w:rsid w:val="003609CF"/>
    <w:rsid w:val="004E17C0"/>
    <w:rsid w:val="0052693E"/>
    <w:rsid w:val="0065082A"/>
    <w:rsid w:val="00743313"/>
    <w:rsid w:val="008B1717"/>
    <w:rsid w:val="00954742"/>
    <w:rsid w:val="009768CD"/>
    <w:rsid w:val="00C03810"/>
    <w:rsid w:val="00C852F6"/>
    <w:rsid w:val="00D77F2A"/>
    <w:rsid w:val="00E261DA"/>
    <w:rsid w:val="00EF6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3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63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3C6"/>
    <w:rPr>
      <w:rFonts w:ascii="Tahoma" w:eastAsia="Times New Roman" w:hAnsi="Tahoma" w:cs="Tahoma"/>
      <w:sz w:val="16"/>
      <w:szCs w:val="16"/>
      <w:lang w:eastAsia="de-DE"/>
    </w:rPr>
  </w:style>
  <w:style w:type="paragraph" w:styleId="Listenabsatz">
    <w:name w:val="List Paragraph"/>
    <w:basedOn w:val="Standard"/>
    <w:uiPriority w:val="34"/>
    <w:qFormat/>
    <w:rsid w:val="00EF63C6"/>
    <w:pPr>
      <w:ind w:left="720"/>
      <w:contextualSpacing/>
    </w:pPr>
  </w:style>
  <w:style w:type="paragraph" w:styleId="Kopfzeile">
    <w:name w:val="header"/>
    <w:basedOn w:val="Standard"/>
    <w:link w:val="KopfzeileZchn"/>
    <w:uiPriority w:val="99"/>
    <w:unhideWhenUsed/>
    <w:rsid w:val="00C03810"/>
    <w:pPr>
      <w:tabs>
        <w:tab w:val="center" w:pos="4536"/>
        <w:tab w:val="right" w:pos="9072"/>
      </w:tabs>
    </w:pPr>
  </w:style>
  <w:style w:type="character" w:customStyle="1" w:styleId="KopfzeileZchn">
    <w:name w:val="Kopfzeile Zchn"/>
    <w:basedOn w:val="Absatz-Standardschriftart"/>
    <w:link w:val="Kopfzeile"/>
    <w:uiPriority w:val="99"/>
    <w:rsid w:val="00C0381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03810"/>
    <w:pPr>
      <w:tabs>
        <w:tab w:val="center" w:pos="4536"/>
        <w:tab w:val="right" w:pos="9072"/>
      </w:tabs>
    </w:pPr>
  </w:style>
  <w:style w:type="character" w:customStyle="1" w:styleId="FuzeileZchn">
    <w:name w:val="Fußzeile Zchn"/>
    <w:basedOn w:val="Absatz-Standardschriftart"/>
    <w:link w:val="Fuzeile"/>
    <w:uiPriority w:val="99"/>
    <w:rsid w:val="00C03810"/>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3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63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3C6"/>
    <w:rPr>
      <w:rFonts w:ascii="Tahoma" w:eastAsia="Times New Roman" w:hAnsi="Tahoma" w:cs="Tahoma"/>
      <w:sz w:val="16"/>
      <w:szCs w:val="16"/>
      <w:lang w:eastAsia="de-DE"/>
    </w:rPr>
  </w:style>
  <w:style w:type="paragraph" w:styleId="Listenabsatz">
    <w:name w:val="List Paragraph"/>
    <w:basedOn w:val="Standard"/>
    <w:uiPriority w:val="34"/>
    <w:qFormat/>
    <w:rsid w:val="00EF63C6"/>
    <w:pPr>
      <w:ind w:left="720"/>
      <w:contextualSpacing/>
    </w:pPr>
  </w:style>
  <w:style w:type="paragraph" w:styleId="Kopfzeile">
    <w:name w:val="header"/>
    <w:basedOn w:val="Standard"/>
    <w:link w:val="KopfzeileZchn"/>
    <w:uiPriority w:val="99"/>
    <w:unhideWhenUsed/>
    <w:rsid w:val="00C03810"/>
    <w:pPr>
      <w:tabs>
        <w:tab w:val="center" w:pos="4536"/>
        <w:tab w:val="right" w:pos="9072"/>
      </w:tabs>
    </w:pPr>
  </w:style>
  <w:style w:type="character" w:customStyle="1" w:styleId="KopfzeileZchn">
    <w:name w:val="Kopfzeile Zchn"/>
    <w:basedOn w:val="Absatz-Standardschriftart"/>
    <w:link w:val="Kopfzeile"/>
    <w:uiPriority w:val="99"/>
    <w:rsid w:val="00C0381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03810"/>
    <w:pPr>
      <w:tabs>
        <w:tab w:val="center" w:pos="4536"/>
        <w:tab w:val="right" w:pos="9072"/>
      </w:tabs>
    </w:pPr>
  </w:style>
  <w:style w:type="character" w:customStyle="1" w:styleId="FuzeileZchn">
    <w:name w:val="Fußzeile Zchn"/>
    <w:basedOn w:val="Absatz-Standardschriftart"/>
    <w:link w:val="Fuzeile"/>
    <w:uiPriority w:val="99"/>
    <w:rsid w:val="00C0381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18</cp:revision>
  <dcterms:created xsi:type="dcterms:W3CDTF">2014-02-04T15:59:00Z</dcterms:created>
  <dcterms:modified xsi:type="dcterms:W3CDTF">2014-08-07T14:13:00Z</dcterms:modified>
</cp:coreProperties>
</file>